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June 18</w:t>
      </w:r>
      <w:r>
        <w:rPr>
          <w:rtl w:val="0"/>
        </w:rPr>
        <w:t>, 2017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Tariff Unit, Water Division, 3rd floor</w:t>
      </w:r>
    </w:p>
    <w:p>
      <w:pPr>
        <w:pStyle w:val="Body"/>
        <w:bidi w:val="0"/>
      </w:pPr>
      <w:r>
        <w:rPr>
          <w:rtl w:val="0"/>
        </w:rPr>
        <w:t>Public Utilities Commission</w:t>
      </w:r>
    </w:p>
    <w:p>
      <w:pPr>
        <w:pStyle w:val="Body"/>
        <w:bidi w:val="0"/>
      </w:pPr>
      <w:r>
        <w:rPr>
          <w:rtl w:val="0"/>
          <w:lang w:val="it-IT"/>
        </w:rPr>
        <w:t>505 Van Ness Avenue</w:t>
      </w:r>
    </w:p>
    <w:p>
      <w:pPr>
        <w:pStyle w:val="Body"/>
        <w:bidi w:val="0"/>
      </w:pPr>
      <w:r>
        <w:rPr>
          <w:rtl w:val="0"/>
          <w:lang w:val="it-IT"/>
        </w:rPr>
        <w:t>San Francisco CA 94102</w:t>
      </w:r>
    </w:p>
    <w:p>
      <w:pPr>
        <w:pStyle w:val="Body"/>
        <w:bidi w:val="0"/>
      </w:pPr>
      <w:r>
        <w:rPr>
          <w:rtl w:val="0"/>
          <w:lang w:val="de-DE"/>
        </w:rPr>
        <w:t xml:space="preserve">  </w:t>
      </w:r>
    </w:p>
    <w:p>
      <w:pPr>
        <w:pStyle w:val="Body"/>
        <w:bidi w:val="0"/>
      </w:pPr>
      <w:r>
        <w:rPr>
          <w:rtl w:val="0"/>
        </w:rPr>
        <w:t>Re: Protest of SJWC</w:t>
      </w:r>
      <w:r>
        <w:rPr>
          <w:rtl w:val="0"/>
        </w:rPr>
        <w:t>’</w:t>
      </w:r>
      <w:r>
        <w:rPr>
          <w:rtl w:val="0"/>
        </w:rPr>
        <w:t>s Advice Letter No. 5</w:t>
      </w:r>
      <w:r>
        <w:rPr>
          <w:rtl w:val="0"/>
        </w:rPr>
        <w:t>10</w:t>
      </w:r>
      <w:r>
        <w:rPr>
          <w:rtl w:val="0"/>
        </w:rPr>
        <w:t xml:space="preserve"> dated </w:t>
      </w:r>
      <w:r>
        <w:rPr>
          <w:rtl w:val="0"/>
        </w:rPr>
        <w:t>June 6</w:t>
      </w:r>
      <w:r>
        <w:rPr>
          <w:rtl w:val="0"/>
        </w:rPr>
        <w:t>, 2017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Dear CPUC Water Division,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WRATES, Water Rate Advocates for Transparency, Equity and Sustainability, is protesting San Jose Water Company's </w:t>
      </w:r>
      <w:r>
        <w:rPr>
          <w:rtl w:val="0"/>
        </w:rPr>
        <w:t xml:space="preserve">(SJWC) </w:t>
      </w:r>
      <w:r>
        <w:rPr>
          <w:rtl w:val="0"/>
        </w:rPr>
        <w:t>Advice Letter No. 5</w:t>
      </w:r>
      <w:r>
        <w:rPr>
          <w:rtl w:val="0"/>
        </w:rPr>
        <w:t>10</w:t>
      </w:r>
      <w:r>
        <w:rPr>
          <w:rtl w:val="0"/>
        </w:rPr>
        <w:t xml:space="preserve"> dated </w:t>
      </w:r>
      <w:r>
        <w:rPr>
          <w:rtl w:val="0"/>
        </w:rPr>
        <w:t>June</w:t>
      </w:r>
      <w:r>
        <w:rPr>
          <w:rtl w:val="0"/>
        </w:rPr>
        <w:t xml:space="preserve"> </w:t>
      </w:r>
      <w:r>
        <w:rPr>
          <w:rtl w:val="0"/>
        </w:rPr>
        <w:t>6</w:t>
      </w:r>
      <w:r>
        <w:rPr>
          <w:rtl w:val="0"/>
        </w:rPr>
        <w:t xml:space="preserve">, 2017. SJWC </w:t>
      </w:r>
      <w:r>
        <w:rPr>
          <w:rtl w:val="0"/>
        </w:rPr>
        <w:t>requests authorization to implement a surcredit to refund readiness to serve charge rate changes as a result of a change in billing practice effective January 1, 2017.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We respectfully request that the CPUC </w:t>
      </w:r>
      <w:r>
        <w:rPr>
          <w:rtl w:val="0"/>
        </w:rPr>
        <w:t>put SJWC</w:t>
      </w:r>
      <w:r>
        <w:rPr>
          <w:rtl w:val="0"/>
        </w:rPr>
        <w:t>'s request</w:t>
      </w:r>
      <w:r>
        <w:rPr>
          <w:rtl w:val="0"/>
        </w:rPr>
        <w:t xml:space="preserve"> on hold until a fair and just settlement is reached through the Formal Complaint process.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WRATES </w:t>
      </w:r>
      <w:r>
        <w:rPr>
          <w:rtl w:val="0"/>
        </w:rPr>
        <w:t xml:space="preserve">is </w:t>
      </w:r>
      <w:r>
        <w:rPr>
          <w:rtl w:val="0"/>
        </w:rPr>
        <w:t>protest</w:t>
      </w:r>
      <w:r>
        <w:rPr>
          <w:rtl w:val="0"/>
        </w:rPr>
        <w:t>ing</w:t>
      </w:r>
      <w:r>
        <w:rPr>
          <w:rtl w:val="0"/>
        </w:rPr>
        <w:t xml:space="preserve"> A</w:t>
      </w:r>
      <w:r>
        <w:rPr>
          <w:rtl w:val="0"/>
        </w:rPr>
        <w:t>dvice Letter 510</w:t>
      </w:r>
      <w:r>
        <w:rPr>
          <w:rtl w:val="0"/>
        </w:rPr>
        <w:t xml:space="preserve"> for the following reasons:</w:t>
      </w:r>
    </w:p>
    <w:p>
      <w:pPr>
        <w:pStyle w:val="Body"/>
        <w:bidi w:val="0"/>
      </w:pPr>
    </w:p>
    <w:p>
      <w:pPr>
        <w:pStyle w:val="Body"/>
        <w:bidi w:val="0"/>
        <w:rPr>
          <w:i w:val="1"/>
          <w:iCs w:val="1"/>
        </w:rPr>
      </w:pPr>
      <w:r>
        <w:rPr>
          <w:b w:val="1"/>
          <w:bCs w:val="1"/>
          <w:rtl w:val="0"/>
          <w:lang w:val="en-US"/>
        </w:rPr>
        <w:t xml:space="preserve">Protest Ground </w:t>
      </w:r>
      <w:r>
        <w:rPr>
          <w:b w:val="1"/>
          <w:bCs w:val="1"/>
          <w:rtl w:val="0"/>
          <w:lang w:val="en-US"/>
        </w:rPr>
        <w:t>3</w:t>
      </w:r>
      <w:r>
        <w:rPr>
          <w:rtl w:val="0"/>
          <w:lang w:val="ru-RU"/>
        </w:rPr>
        <w:t xml:space="preserve"> - </w:t>
      </w:r>
      <w:r>
        <w:rPr>
          <w:i w:val="1"/>
          <w:iCs w:val="1"/>
          <w:rtl w:val="0"/>
          <w:lang w:val="en-US"/>
        </w:rPr>
        <w:t xml:space="preserve">The </w:t>
      </w:r>
      <w:r>
        <w:rPr>
          <w:i w:val="1"/>
          <w:iCs w:val="1"/>
          <w:rtl w:val="0"/>
          <w:lang w:val="en-US"/>
        </w:rPr>
        <w:t>analysis, calculations, or data in the advice letter contain material error or omissions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Protest Ground </w:t>
      </w:r>
      <w:r>
        <w:rPr>
          <w:b w:val="1"/>
          <w:bCs w:val="1"/>
          <w:rtl w:val="0"/>
          <w:lang w:val="en-US"/>
        </w:rPr>
        <w:t>4</w:t>
      </w:r>
      <w:r>
        <w:rPr>
          <w:rtl w:val="0"/>
          <w:lang w:val="ru-RU"/>
        </w:rPr>
        <w:t xml:space="preserve"> -</w:t>
      </w:r>
      <w:r>
        <w:rPr>
          <w:i w:val="1"/>
          <w:iCs w:val="1"/>
          <w:rtl w:val="0"/>
          <w:lang w:val="en-US"/>
        </w:rPr>
        <w:t>The relief requested in the advice letter is pending before the Commission in a formal proceeding</w:t>
      </w:r>
    </w:p>
    <w:p>
      <w:pPr>
        <w:pStyle w:val="Body"/>
        <w:bidi w:val="0"/>
        <w:rPr>
          <w:i w:val="1"/>
          <w:iCs w:val="1"/>
        </w:rPr>
      </w:pPr>
      <w:r>
        <w:rPr>
          <w:b w:val="1"/>
          <w:bCs w:val="1"/>
          <w:rtl w:val="0"/>
          <w:lang w:val="en-US"/>
        </w:rPr>
        <w:t xml:space="preserve">Protest Ground </w:t>
      </w:r>
      <w:r>
        <w:rPr>
          <w:b w:val="1"/>
          <w:bCs w:val="1"/>
          <w:rtl w:val="0"/>
          <w:lang w:val="en-US"/>
        </w:rPr>
        <w:t>5</w:t>
      </w:r>
      <w:r>
        <w:rPr>
          <w:rtl w:val="0"/>
          <w:lang w:val="ru-RU"/>
        </w:rPr>
        <w:t xml:space="preserve"> -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The relief requested in the advice letter requires consideration in a formal hearing, or is otherwise inappropriate for the advice letter process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Protest Ground 6</w:t>
      </w:r>
      <w:r>
        <w:rPr>
          <w:rtl w:val="0"/>
          <w:lang w:val="ru-RU"/>
        </w:rPr>
        <w:t xml:space="preserve"> - </w:t>
      </w:r>
      <w:r>
        <w:rPr>
          <w:i w:val="1"/>
          <w:iCs w:val="1"/>
          <w:rtl w:val="0"/>
          <w:lang w:val="en-US"/>
        </w:rPr>
        <w:t>The relief requested in the advice letter is unjust, unreasonable, or discriminatory</w:t>
      </w:r>
    </w:p>
    <w:p>
      <w:pPr>
        <w:pStyle w:val="Body"/>
        <w:bidi w:val="0"/>
      </w:pPr>
    </w:p>
    <w:p>
      <w:pPr>
        <w:pStyle w:val="Body"/>
        <w:rPr/>
      </w:pPr>
      <w:r>
        <w:rPr>
          <w:rtl w:val="0"/>
          <w:lang w:val="en-US"/>
        </w:rPr>
        <w:t>Advice Letter 510 is unjust</w:t>
      </w:r>
      <w:r>
        <w:rPr>
          <w:rtl w:val="0"/>
          <w:lang w:val="en-US"/>
        </w:rPr>
        <w:t xml:space="preserve">, unreasonable </w:t>
      </w:r>
      <w:r>
        <w:rPr>
          <w:rtl w:val="0"/>
          <w:lang w:val="en-US"/>
        </w:rPr>
        <w:t xml:space="preserve">and unfair. </w:t>
      </w:r>
      <w:r>
        <w:rPr>
          <w:rtl w:val="0"/>
          <w:lang w:val="en-US"/>
        </w:rPr>
        <w:t>The</w:t>
      </w:r>
      <w:r>
        <w:rPr>
          <w:rtl w:val="0"/>
          <w:lang w:val="en-US"/>
        </w:rPr>
        <w:t xml:space="preserve"> agreement </w:t>
      </w:r>
      <w:r>
        <w:rPr>
          <w:rtl w:val="0"/>
          <w:lang w:val="en-US"/>
        </w:rPr>
        <w:t xml:space="preserve">reached by </w:t>
      </w:r>
      <w:r>
        <w:rPr>
          <w:rtl w:val="0"/>
          <w:lang w:val="en-US"/>
        </w:rPr>
        <w:t>the CPUC Water Division and SJWC to refund the ratepayer for the service charge overcharges is unjust</w:t>
      </w:r>
      <w:r>
        <w:rPr>
          <w:rtl w:val="0"/>
          <w:lang w:val="en-US"/>
        </w:rPr>
        <w:t xml:space="preserve"> and </w:t>
      </w:r>
      <w:r>
        <w:rPr>
          <w:rtl w:val="0"/>
          <w:lang w:val="en-US"/>
        </w:rPr>
        <w:t>unreasonable. The service charge overcharges are well in excess of $13 million dollars, not $1</w:t>
      </w:r>
      <w:r>
        <w:rPr>
          <w:rtl w:val="0"/>
          <w:lang w:val="en-US"/>
        </w:rPr>
        <w:t>,794,439</w:t>
      </w:r>
      <w:r>
        <w:rPr>
          <w:rtl w:val="0"/>
          <w:lang w:val="en-US"/>
        </w:rPr>
        <w:t xml:space="preserve"> as stated in Advice Letter 510. This settlement does not address several key points.</w:t>
      </w:r>
    </w:p>
    <w:p>
      <w:pPr>
        <w:pStyle w:val="Body"/>
        <w:rPr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rPr>
          <w:shd w:val="clear" w:color="auto" w:fill="feffff"/>
          <w:lang w:val="en-US"/>
        </w:rPr>
      </w:pPr>
      <w:r>
        <w:rPr>
          <w:shd w:val="clear" w:color="auto" w:fill="feffff"/>
          <w:rtl w:val="0"/>
          <w:lang w:val="en-US"/>
        </w:rPr>
        <w:t xml:space="preserve">The CPUC and SJWC have circumvented </w:t>
      </w:r>
      <w:r>
        <w:rPr>
          <w:shd w:val="clear" w:color="auto" w:fill="feffff"/>
          <w:rtl w:val="0"/>
          <w:lang w:val="en-US"/>
        </w:rPr>
        <w:t>F</w:t>
      </w:r>
      <w:r>
        <w:rPr>
          <w:shd w:val="clear" w:color="auto" w:fill="feffff"/>
          <w:rtl w:val="0"/>
        </w:rPr>
        <w:t xml:space="preserve">ormal </w:t>
      </w:r>
      <w:r>
        <w:rPr>
          <w:shd w:val="clear" w:color="auto" w:fill="feffff"/>
          <w:rtl w:val="0"/>
          <w:lang w:val="en-US"/>
        </w:rPr>
        <w:t>C</w:t>
      </w:r>
      <w:r>
        <w:rPr>
          <w:shd w:val="clear" w:color="auto" w:fill="feffff"/>
          <w:rtl w:val="0"/>
          <w:lang w:val="en-US"/>
        </w:rPr>
        <w:t>omplaint C.17-06-009</w:t>
      </w:r>
      <w:r>
        <w:rPr>
          <w:shd w:val="clear" w:color="auto" w:fill="feffff"/>
          <w:rtl w:val="0"/>
          <w:lang w:val="en-US"/>
        </w:rPr>
        <w:t xml:space="preserve"> </w:t>
      </w:r>
      <w:r>
        <w:rPr>
          <w:shd w:val="clear" w:color="auto" w:fill="feffff"/>
          <w:rtl w:val="0"/>
          <w:lang w:val="en-US"/>
        </w:rPr>
        <w:t xml:space="preserve">filed with the CPUC on April 17, 2017. </w:t>
      </w:r>
      <w:r>
        <w:rPr>
          <w:shd w:val="clear" w:color="auto" w:fill="feffff"/>
          <w:rtl w:val="0"/>
          <w:lang w:val="en-US"/>
        </w:rPr>
        <w:t>The</w:t>
      </w:r>
      <w:r>
        <w:rPr>
          <w:shd w:val="clear" w:color="auto" w:fill="feffff"/>
          <w:rtl w:val="0"/>
        </w:rPr>
        <w:t xml:space="preserve"> </w:t>
      </w:r>
      <w:r>
        <w:rPr>
          <w:shd w:val="clear" w:color="auto" w:fill="feffff"/>
          <w:rtl w:val="0"/>
          <w:lang w:val="en-US"/>
        </w:rPr>
        <w:t>F</w:t>
      </w:r>
      <w:r>
        <w:rPr>
          <w:shd w:val="clear" w:color="auto" w:fill="feffff"/>
          <w:rtl w:val="0"/>
        </w:rPr>
        <w:t xml:space="preserve">ormal </w:t>
      </w:r>
      <w:r>
        <w:rPr>
          <w:shd w:val="clear" w:color="auto" w:fill="feffff"/>
          <w:rtl w:val="0"/>
          <w:lang w:val="en-US"/>
        </w:rPr>
        <w:t>C</w:t>
      </w:r>
      <w:r>
        <w:rPr>
          <w:shd w:val="clear" w:color="auto" w:fill="feffff"/>
          <w:rtl w:val="0"/>
          <w:lang w:val="en-US"/>
        </w:rPr>
        <w:t xml:space="preserve">omplaint was put on hold for unknown reasons on April 18, 2017 by Raminder Kahlon and then taken off hold by </w:t>
      </w:r>
      <w:r>
        <w:rPr>
          <w:shd w:val="clear" w:color="auto" w:fill="feffff"/>
          <w:rtl w:val="0"/>
          <w:lang w:val="en-US"/>
        </w:rPr>
        <w:t>Mr. Kahlon</w:t>
      </w:r>
      <w:r>
        <w:rPr>
          <w:shd w:val="clear" w:color="auto" w:fill="feffff"/>
          <w:rtl w:val="0"/>
          <w:lang w:val="en-US"/>
        </w:rPr>
        <w:t xml:space="preserve"> on May 22, 2017 after inquires</w:t>
      </w:r>
      <w:r>
        <w:rPr>
          <w:shd w:val="clear" w:color="auto" w:fill="feffff"/>
          <w:rtl w:val="0"/>
          <w:lang w:val="en-US"/>
        </w:rPr>
        <w:t xml:space="preserve"> were made</w:t>
      </w:r>
      <w:r>
        <w:rPr>
          <w:shd w:val="clear" w:color="auto" w:fill="feffff"/>
          <w:rtl w:val="0"/>
        </w:rPr>
        <w:t xml:space="preserve">. </w:t>
      </w:r>
      <w:r>
        <w:rPr>
          <w:shd w:val="clear" w:color="auto" w:fill="feffff"/>
          <w:rtl w:val="0"/>
          <w:lang w:val="en-US"/>
        </w:rPr>
        <w:t xml:space="preserve">WRATES </w:t>
      </w:r>
      <w:r>
        <w:rPr>
          <w:shd w:val="clear" w:color="auto" w:fill="feffff"/>
          <w:rtl w:val="0"/>
          <w:lang w:val="en-US"/>
        </w:rPr>
        <w:t>was informed by the docket office of Rule 4.1b a few days after Mr. Kahlon took the complaint off hold.</w:t>
      </w:r>
      <w:r>
        <w:rPr>
          <w:shd w:val="clear" w:color="auto" w:fill="feffff"/>
          <w:rtl w:val="0"/>
          <w:lang w:val="en-US"/>
        </w:rPr>
        <w:t>T</w:t>
      </w:r>
      <w:r>
        <w:rPr>
          <w:shd w:val="clear" w:color="auto" w:fill="feffff"/>
          <w:rtl w:val="0"/>
          <w:lang w:val="en-US"/>
        </w:rPr>
        <w:t xml:space="preserve">he </w:t>
      </w:r>
      <w:r>
        <w:rPr>
          <w:shd w:val="clear" w:color="auto" w:fill="feffff"/>
          <w:rtl w:val="0"/>
          <w:lang w:val="en-US"/>
        </w:rPr>
        <w:t>F</w:t>
      </w:r>
      <w:r>
        <w:rPr>
          <w:shd w:val="clear" w:color="auto" w:fill="feffff"/>
          <w:rtl w:val="0"/>
        </w:rPr>
        <w:t xml:space="preserve">ormal </w:t>
      </w:r>
      <w:r>
        <w:rPr>
          <w:shd w:val="clear" w:color="auto" w:fill="feffff"/>
          <w:rtl w:val="0"/>
          <w:lang w:val="en-US"/>
        </w:rPr>
        <w:t>C</w:t>
      </w:r>
      <w:r>
        <w:rPr>
          <w:shd w:val="clear" w:color="auto" w:fill="feffff"/>
          <w:rtl w:val="0"/>
          <w:lang w:val="en-US"/>
        </w:rPr>
        <w:t xml:space="preserve">omplaint </w:t>
      </w:r>
      <w:r>
        <w:rPr>
          <w:shd w:val="clear" w:color="auto" w:fill="feffff"/>
          <w:rtl w:val="0"/>
          <w:lang w:val="en-US"/>
        </w:rPr>
        <w:t xml:space="preserve">was refiled </w:t>
      </w:r>
      <w:r>
        <w:rPr>
          <w:shd w:val="clear" w:color="auto" w:fill="feffff"/>
          <w:rtl w:val="0"/>
          <w:lang w:val="en-US"/>
        </w:rPr>
        <w:t xml:space="preserve">on May 30, 2017 </w:t>
      </w:r>
      <w:r>
        <w:rPr>
          <w:shd w:val="clear" w:color="auto" w:fill="feffff"/>
          <w:rtl w:val="0"/>
          <w:lang w:val="en-US"/>
        </w:rPr>
        <w:t xml:space="preserve">which </w:t>
      </w:r>
      <w:r>
        <w:rPr>
          <w:shd w:val="clear" w:color="auto" w:fill="feffff"/>
          <w:rtl w:val="0"/>
          <w:lang w:val="en-US"/>
        </w:rPr>
        <w:t xml:space="preserve">including 70 signatures to comply with Rule 4.1b </w:t>
      </w:r>
      <w:r>
        <w:rPr>
          <w:shd w:val="clear" w:color="auto" w:fill="feffff"/>
          <w:rtl w:val="0"/>
          <w:lang w:val="en-US"/>
        </w:rPr>
        <w:t>(</w:t>
      </w:r>
      <w:r>
        <w:rPr>
          <w:shd w:val="clear" w:color="auto" w:fill="feffff"/>
          <w:rtl w:val="0"/>
          <w:lang w:val="en-US"/>
        </w:rPr>
        <w:t>only 25 signatures</w:t>
      </w:r>
      <w:r>
        <w:rPr>
          <w:shd w:val="clear" w:color="auto" w:fill="feffff"/>
          <w:rtl w:val="0"/>
          <w:lang w:val="en-US"/>
        </w:rPr>
        <w:t xml:space="preserve"> are required)</w:t>
      </w:r>
      <w:r>
        <w:rPr>
          <w:shd w:val="clear" w:color="auto" w:fill="feffff"/>
          <w:rtl w:val="0"/>
          <w:lang w:val="en-US"/>
        </w:rPr>
        <w:t xml:space="preserve">. Mr. Kahlon then informed </w:t>
      </w:r>
      <w:r>
        <w:rPr>
          <w:shd w:val="clear" w:color="auto" w:fill="feffff"/>
          <w:rtl w:val="0"/>
          <w:lang w:val="en-US"/>
        </w:rPr>
        <w:t>WRATES</w:t>
      </w:r>
      <w:r>
        <w:rPr>
          <w:shd w:val="clear" w:color="auto" w:fill="feffff"/>
          <w:rtl w:val="0"/>
          <w:lang w:val="en-US"/>
        </w:rPr>
        <w:t xml:space="preserve"> of Rule 4.1b a day later implying that that was why </w:t>
      </w:r>
      <w:r>
        <w:rPr>
          <w:shd w:val="clear" w:color="auto" w:fill="feffff"/>
          <w:rtl w:val="0"/>
          <w:lang w:val="en-US"/>
        </w:rPr>
        <w:t>the</w:t>
      </w:r>
      <w:r>
        <w:rPr>
          <w:shd w:val="clear" w:color="auto" w:fill="feffff"/>
          <w:rtl w:val="0"/>
          <w:lang w:val="en-US"/>
        </w:rPr>
        <w:t xml:space="preserve"> complaint was on hold.</w:t>
      </w:r>
    </w:p>
    <w:p>
      <w:pPr>
        <w:pStyle w:val="Body"/>
        <w:rPr/>
      </w:pPr>
    </w:p>
    <w:p>
      <w:pPr>
        <w:pStyle w:val="Body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As stated in General Order #96-B, </w:t>
      </w:r>
      <w:r>
        <w:rPr>
          <w:b w:val="1"/>
          <w:bCs w:val="1"/>
          <w:rtl w:val="0"/>
          <w:lang w:val="en-US"/>
        </w:rPr>
        <w:t>7.4.1-Filing of Protest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7.6.1-Industry Division Disposition of Advice Letters</w:t>
      </w:r>
      <w:r>
        <w:rPr>
          <w:rtl w:val="0"/>
          <w:lang w:val="en-US"/>
        </w:rPr>
        <w:t>, the Industry Division will (2) reject without prejudice an advice letter whose disposition would require an evidentiary hearing or otherwise require review in a formal proceeding.</w:t>
      </w:r>
    </w:p>
    <w:p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rPr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Advice Letter 510 does not include</w:t>
      </w:r>
      <w:r>
        <w:rPr>
          <w:rtl w:val="0"/>
          <w:lang w:val="en-US"/>
        </w:rPr>
        <w:t xml:space="preserve"> adequate details about how SJWC calculated the surcredit. There is no explanation as to how SJWC arrived at 22.4% as a percentage of the current service charge.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All dates and amounts of overcharges need to be clearly explained and documented.</w:t>
      </w:r>
    </w:p>
    <w:p>
      <w:pPr>
        <w:pStyle w:val="Body"/>
        <w:rPr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Advice Letter 510 ignores the fact that customers were double-billed </w:t>
      </w:r>
      <w:r>
        <w:rPr>
          <w:rtl w:val="0"/>
          <w:lang w:val="en-US"/>
        </w:rPr>
        <w:t xml:space="preserve">for the </w:t>
      </w:r>
      <w:r>
        <w:rPr>
          <w:u w:val="single"/>
          <w:rtl w:val="0"/>
          <w:lang w:val="en-US"/>
        </w:rPr>
        <w:t>entire amount</w:t>
      </w:r>
      <w:r>
        <w:rPr>
          <w:rtl w:val="0"/>
          <w:lang w:val="en-US"/>
        </w:rPr>
        <w:t xml:space="preserve"> of the service charge (eg: $50.04 for 3/4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meter, $83.32 for 1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meter, $166.72 for 1 1/2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meter etc.) </w:t>
      </w:r>
      <w:r>
        <w:rPr>
          <w:rtl w:val="0"/>
          <w:lang w:val="en-US"/>
        </w:rPr>
        <w:t>during the transition from billing in advance to billing in arrears.</w:t>
      </w:r>
    </w:p>
    <w:p>
      <w:pPr>
        <w:pStyle w:val="Body"/>
        <w:rPr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Advice Letter 510 </w:t>
      </w:r>
      <w:r>
        <w:rPr>
          <w:rtl w:val="0"/>
          <w:lang w:val="en-US"/>
        </w:rPr>
        <w:t>does not address t</w:t>
      </w:r>
      <w:r>
        <w:rPr>
          <w:rtl w:val="0"/>
          <w:lang w:val="en-US"/>
        </w:rPr>
        <w:t>he PUC surcharge which is affected by the overcharges. There should be a PUC surcharge adjustment.</w:t>
      </w:r>
    </w:p>
    <w:p>
      <w:pPr>
        <w:pStyle w:val="Body"/>
        <w:rPr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Advice Letter 510 does not address the San Jose City tax which is affected by the overcharges. There should be a San Jose City tax adjustment.</w:t>
      </w:r>
    </w:p>
    <w:p>
      <w:pPr>
        <w:pStyle w:val="Body"/>
        <w:rPr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Advice Letter 510 does not address the Interest on overcharges. The ratepayer should be entitled to the interest SJWC earned on the overcharges.</w:t>
      </w:r>
    </w:p>
    <w:p>
      <w:pPr>
        <w:pStyle w:val="Body"/>
        <w:rPr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T</w:t>
      </w:r>
      <w:r>
        <w:rPr>
          <w:rtl w:val="0"/>
        </w:rPr>
        <w:t xml:space="preserve">he </w:t>
      </w:r>
      <w:r>
        <w:rPr>
          <w:rtl w:val="0"/>
        </w:rPr>
        <w:t>following are SJWC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</w:rPr>
        <w:t>Advice Letter Rate Increases since January 1, 2017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AL 498 - 3.83% - general rate case increase - approved</w:t>
      </w:r>
    </w:p>
    <w:p>
      <w:pPr>
        <w:pStyle w:val="Body"/>
        <w:bidi w:val="0"/>
      </w:pPr>
      <w:r>
        <w:rPr>
          <w:rtl w:val="0"/>
        </w:rPr>
        <w:t>AL 501 - 3.65% - SRM drought shortfall recovery - rejected &amp; SJWC currently appealing</w:t>
      </w:r>
    </w:p>
    <w:p>
      <w:pPr>
        <w:pStyle w:val="Body"/>
        <w:bidi w:val="0"/>
      </w:pPr>
      <w:r>
        <w:rPr>
          <w:rtl w:val="0"/>
          <w:lang w:val="it-IT"/>
        </w:rPr>
        <w:t>AL 506 - 1.51% - Montevina Upgrade Project - approved</w:t>
      </w:r>
    </w:p>
    <w:p>
      <w:pPr>
        <w:pStyle w:val="Body"/>
        <w:bidi w:val="0"/>
      </w:pPr>
      <w:r>
        <w:rPr>
          <w:rtl w:val="0"/>
        </w:rPr>
        <w:t>AL 508 - 3.30% - 2014/15 WCMA mandatory conservation recovery - approved</w:t>
      </w:r>
    </w:p>
    <w:p>
      <w:pPr>
        <w:pStyle w:val="Body"/>
        <w:bidi w:val="0"/>
      </w:pPr>
      <w:r>
        <w:rPr>
          <w:rtl w:val="0"/>
        </w:rPr>
        <w:t>AL 509 - 3.66% - SCVWD pass through increase - approval expected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TOTAL: </w:t>
      </w:r>
      <w:r>
        <w:rPr>
          <w:b w:val="1"/>
          <w:bCs w:val="1"/>
          <w:rtl w:val="0"/>
          <w:lang w:val="pt-PT"/>
        </w:rPr>
        <w:t xml:space="preserve">12.30% </w:t>
      </w:r>
      <w:r>
        <w:rPr>
          <w:rtl w:val="0"/>
        </w:rPr>
        <w:t>rate increases thus far and if SJWC is successful at appealing AL 501, the total increase will be 15.95%.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Since 2013, the CPUC has allowed SJWC to increase its rates an average of 20% per year and at this rate, SJWC </w:t>
      </w:r>
      <w:r>
        <w:rPr>
          <w:rtl w:val="0"/>
        </w:rPr>
        <w:t>will</w:t>
      </w:r>
      <w:r>
        <w:rPr>
          <w:rtl w:val="0"/>
        </w:rPr>
        <w:t xml:space="preserve"> achieve or surpass </w:t>
      </w:r>
      <w:r>
        <w:rPr>
          <w:rtl w:val="0"/>
        </w:rPr>
        <w:t>a</w:t>
      </w:r>
      <w:r>
        <w:rPr>
          <w:rtl w:val="0"/>
        </w:rPr>
        <w:t xml:space="preserve"> 20% increase for 2017. </w:t>
      </w:r>
      <w:r>
        <w:rPr>
          <w:rtl w:val="0"/>
        </w:rPr>
        <w:t>SJWC</w:t>
      </w:r>
      <w:r>
        <w:rPr>
          <w:rtl w:val="0"/>
          <w:lang w:val="nl-NL"/>
        </w:rPr>
        <w:t xml:space="preserve"> water </w:t>
      </w:r>
      <w:r>
        <w:rPr>
          <w:rtl w:val="0"/>
        </w:rPr>
        <w:t xml:space="preserve">rates are already </w:t>
      </w:r>
      <w:r>
        <w:rPr>
          <w:u w:val="single"/>
          <w:rtl w:val="0"/>
          <w:lang w:val="en-US"/>
        </w:rPr>
        <w:t>unreasonable</w:t>
      </w:r>
      <w:r>
        <w:rPr>
          <w:rtl w:val="0"/>
        </w:rPr>
        <w:t xml:space="preserve"> and they are </w:t>
      </w:r>
      <w:r>
        <w:rPr>
          <w:rtl w:val="0"/>
        </w:rPr>
        <w:t xml:space="preserve">quickly becoming </w:t>
      </w:r>
      <w:r>
        <w:rPr>
          <w:u w:val="single"/>
          <w:rtl w:val="0"/>
          <w:lang w:val="en-US"/>
        </w:rPr>
        <w:t>unaffordable</w:t>
      </w:r>
      <w:r>
        <w:rPr>
          <w:rtl w:val="0"/>
        </w:rPr>
        <w:t xml:space="preserve">. </w:t>
      </w:r>
    </w:p>
    <w:p>
      <w:pPr>
        <w:pStyle w:val="Body"/>
        <w:bidi w:val="0"/>
      </w:pPr>
    </w:p>
    <w:p>
      <w:pPr>
        <w:pStyle w:val="Body"/>
        <w:rPr/>
      </w:pPr>
      <w:r>
        <w:rPr>
          <w:rtl w:val="0"/>
          <w:lang w:val="en-US"/>
        </w:rPr>
        <w:t>I respectfully request that Advice Letter 510 b</w:t>
      </w:r>
      <w:r>
        <w:rPr>
          <w:rtl w:val="0"/>
          <w:lang w:val="en-US"/>
        </w:rPr>
        <w:t xml:space="preserve">e </w:t>
      </w:r>
      <w:r>
        <w:rPr>
          <w:rtl w:val="0"/>
          <w:lang w:val="en-US"/>
        </w:rPr>
        <w:t xml:space="preserve">put on hold until a fair and just settlement is reached through the </w:t>
      </w:r>
      <w:r>
        <w:rPr>
          <w:rtl w:val="0"/>
          <w:lang w:val="en-US"/>
        </w:rPr>
        <w:t>F</w:t>
      </w:r>
      <w:r>
        <w:rPr>
          <w:rtl w:val="0"/>
        </w:rPr>
        <w:t xml:space="preserve">ormal 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omplaint process. The ratepayer</w:t>
      </w:r>
      <w:r>
        <w:rPr>
          <w:rtl w:val="0"/>
          <w:lang w:val="en-US"/>
        </w:rPr>
        <w:t>s</w:t>
      </w:r>
      <w:r>
        <w:rPr>
          <w:rtl w:val="0"/>
        </w:rPr>
        <w:t xml:space="preserve"> </w:t>
      </w:r>
      <w:r>
        <w:rPr>
          <w:rtl w:val="0"/>
          <w:lang w:val="en-US"/>
        </w:rPr>
        <w:t>deserve full reimbursement from SJWC in this matter, not a token surcredit.</w:t>
      </w:r>
      <w:r>
        <w:rPr>
          <w:rtl w:val="0"/>
          <w:lang w:val="en-US"/>
        </w:rPr>
        <w:t>. It is time for the CPUC to honor its mission statement and align itself with the ratepayer and not the utility.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pt-PT"/>
        </w:rPr>
        <w:t>Rita Benton</w:t>
      </w:r>
    </w:p>
    <w:p>
      <w:pPr>
        <w:pStyle w:val="Body"/>
        <w:bidi w:val="0"/>
      </w:pPr>
      <w:r>
        <w:rPr>
          <w:rtl w:val="0"/>
        </w:rPr>
        <w:t xml:space="preserve">WRATES </w:t>
      </w:r>
    </w:p>
    <w:p>
      <w:pPr>
        <w:pStyle w:val="Body"/>
        <w:bidi w:val="0"/>
      </w:pPr>
      <w:r>
        <w:rPr>
          <w:rtl w:val="0"/>
        </w:rPr>
        <w:t>Water Rate Advocates for Transparency, Equity and Sustainability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1080"/>
          <w:tab w:val="right" w:pos="2160"/>
          <w:tab w:val="left" w:pos="3240"/>
          <w:tab w:val="left" w:pos="43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80"/>
          <w:tab w:val="right" w:pos="2160"/>
          <w:tab w:val="left" w:pos="3240"/>
          <w:tab w:val="left" w:pos="43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  <w:tab w:val="right" w:pos="2160"/>
          <w:tab w:val="left" w:pos="3240"/>
          <w:tab w:val="left" w:pos="43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  <w:tab w:val="right" w:pos="2160"/>
          <w:tab w:val="left" w:pos="3240"/>
          <w:tab w:val="left" w:pos="43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  <w:tab w:val="right" w:pos="2160"/>
          <w:tab w:val="left" w:pos="3240"/>
          <w:tab w:val="left" w:pos="43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right" w:pos="2160"/>
          <w:tab w:val="left" w:pos="3240"/>
          <w:tab w:val="left" w:pos="43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  <w:tab w:val="right" w:pos="2160"/>
          <w:tab w:val="left" w:pos="3240"/>
          <w:tab w:val="left" w:pos="43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  <w:tab w:val="right" w:pos="2160"/>
          <w:tab w:val="left" w:pos="3240"/>
          <w:tab w:val="left" w:pos="43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  <w:tab w:val="right" w:pos="2160"/>
          <w:tab w:val="left" w:pos="3240"/>
          <w:tab w:val="left" w:pos="43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